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F" w:rsidRDefault="002472E4" w:rsidP="002472E4">
      <w:pPr>
        <w:pBdr>
          <w:bottom w:val="single" w:sz="4" w:space="1" w:color="auto"/>
        </w:pBdr>
        <w:spacing w:after="0" w:line="240" w:lineRule="auto"/>
      </w:pPr>
      <w:r>
        <w:t>Šolski center Ravne na Koroškem</w:t>
      </w:r>
    </w:p>
    <w:p w:rsidR="002472E4" w:rsidRDefault="002472E4" w:rsidP="002472E4">
      <w:pPr>
        <w:pBdr>
          <w:bottom w:val="single" w:sz="4" w:space="1" w:color="auto"/>
        </w:pBdr>
        <w:spacing w:after="0" w:line="240" w:lineRule="auto"/>
      </w:pPr>
      <w:r>
        <w:t>Višja strokovna šola</w:t>
      </w:r>
    </w:p>
    <w:p w:rsidR="002472E4" w:rsidRDefault="002472E4" w:rsidP="002472E4">
      <w:pPr>
        <w:pBdr>
          <w:bottom w:val="single" w:sz="4" w:space="1" w:color="auto"/>
        </w:pBdr>
        <w:spacing w:after="0" w:line="240" w:lineRule="auto"/>
      </w:pPr>
      <w:r>
        <w:t>Koroška cesta 10</w:t>
      </w:r>
    </w:p>
    <w:p w:rsidR="002472E4" w:rsidRDefault="002472E4" w:rsidP="00DB5269">
      <w:pPr>
        <w:pBdr>
          <w:bottom w:val="single" w:sz="4" w:space="1" w:color="auto"/>
        </w:pBdr>
      </w:pPr>
      <w:r>
        <w:t>2390 Ravne na Koroškem</w:t>
      </w:r>
    </w:p>
    <w:p w:rsidR="002472E4" w:rsidRDefault="002472E4" w:rsidP="000C56B8">
      <w:pPr>
        <w:pBdr>
          <w:bottom w:val="single" w:sz="4" w:space="1" w:color="auto"/>
        </w:pBdr>
      </w:pPr>
    </w:p>
    <w:p w:rsidR="002472E4" w:rsidRDefault="002472E4" w:rsidP="000C56B8">
      <w:pPr>
        <w:pBdr>
          <w:bottom w:val="single" w:sz="4" w:space="1" w:color="auto"/>
        </w:pBdr>
      </w:pPr>
    </w:p>
    <w:p w:rsidR="000C56B8" w:rsidRDefault="000C56B8" w:rsidP="000C56B8">
      <w:pPr>
        <w:pBdr>
          <w:bottom w:val="single" w:sz="4" w:space="1" w:color="auto"/>
        </w:pBdr>
      </w:pPr>
      <w:r>
        <w:t xml:space="preserve">Študijska smer: </w:t>
      </w:r>
      <w:r w:rsidRPr="00AD1490">
        <w:rPr>
          <w:b/>
        </w:rPr>
        <w:t>MEHATRONIKA</w:t>
      </w:r>
    </w:p>
    <w:p w:rsidR="00A73F3A" w:rsidRDefault="00A73F3A" w:rsidP="00DB5269">
      <w:pPr>
        <w:pBdr>
          <w:bottom w:val="single" w:sz="4" w:space="1" w:color="auto"/>
        </w:pBdr>
      </w:pPr>
      <w:r>
        <w:t>Ime in priimek</w:t>
      </w:r>
      <w:r w:rsidR="000C56B8">
        <w:t xml:space="preserve"> študenta</w:t>
      </w:r>
      <w:r>
        <w:t>:</w:t>
      </w:r>
      <w:r w:rsidR="000C56B8">
        <w:t>__________________________________</w:t>
      </w:r>
    </w:p>
    <w:p w:rsidR="000C56B8" w:rsidRDefault="000C56B8" w:rsidP="00DB5269">
      <w:pPr>
        <w:pBdr>
          <w:bottom w:val="single" w:sz="4" w:space="1" w:color="auto"/>
        </w:pBdr>
      </w:pPr>
      <w:r>
        <w:t>Študijsko leto: 2010/11</w:t>
      </w:r>
    </w:p>
    <w:p w:rsidR="000C56B8" w:rsidRDefault="000C56B8" w:rsidP="00DB5269">
      <w:pPr>
        <w:pBdr>
          <w:bottom w:val="single" w:sz="4" w:space="1" w:color="auto"/>
        </w:pBdr>
      </w:pPr>
      <w:r>
        <w:t xml:space="preserve">Predmet: </w:t>
      </w:r>
      <w:r w:rsidRPr="00AD1490">
        <w:rPr>
          <w:b/>
        </w:rPr>
        <w:t>Robotski sistemi 1</w:t>
      </w:r>
    </w:p>
    <w:p w:rsidR="002472E4" w:rsidRPr="002472E4" w:rsidRDefault="002472E4" w:rsidP="00DB5269">
      <w:pPr>
        <w:pBdr>
          <w:bottom w:val="single" w:sz="4" w:space="1" w:color="auto"/>
        </w:pBdr>
        <w:rPr>
          <w:b/>
          <w:u w:val="single"/>
        </w:rPr>
      </w:pPr>
    </w:p>
    <w:p w:rsidR="000C56B8" w:rsidRDefault="000C56B8" w:rsidP="00DB5269">
      <w:pPr>
        <w:pBdr>
          <w:bottom w:val="single" w:sz="4" w:space="1" w:color="auto"/>
        </w:pBdr>
      </w:pPr>
    </w:p>
    <w:p w:rsidR="000C56B8" w:rsidRDefault="000C56B8" w:rsidP="00DB5269">
      <w:pPr>
        <w:pBdr>
          <w:bottom w:val="single" w:sz="4" w:space="1" w:color="auto"/>
        </w:pBdr>
      </w:pPr>
    </w:p>
    <w:p w:rsidR="000C56B8" w:rsidRDefault="000C56B8" w:rsidP="00DB5269">
      <w:pPr>
        <w:pBdr>
          <w:bottom w:val="single" w:sz="4" w:space="1" w:color="auto"/>
        </w:pBdr>
      </w:pPr>
    </w:p>
    <w:p w:rsidR="000C56B8" w:rsidRPr="00AD1490" w:rsidRDefault="000C56B8" w:rsidP="000C56B8">
      <w:pPr>
        <w:jc w:val="center"/>
        <w:rPr>
          <w:b/>
          <w:sz w:val="32"/>
        </w:rPr>
      </w:pPr>
      <w:r w:rsidRPr="00AD1490">
        <w:rPr>
          <w:b/>
          <w:sz w:val="32"/>
        </w:rPr>
        <w:t>LABORATORIJSKO POROČILO</w:t>
      </w:r>
    </w:p>
    <w:p w:rsidR="000C56B8" w:rsidRDefault="002472E4" w:rsidP="002472E4">
      <w:pPr>
        <w:jc w:val="center"/>
      </w:pPr>
      <w:r w:rsidRPr="002472E4">
        <w:rPr>
          <w:b/>
          <w:u w:val="single"/>
        </w:rPr>
        <w:t>Naloga 1</w:t>
      </w:r>
    </w:p>
    <w:p w:rsidR="002472E4" w:rsidRDefault="002472E4" w:rsidP="002472E4"/>
    <w:p w:rsidR="002472E4" w:rsidRDefault="002472E4" w:rsidP="002472E4"/>
    <w:p w:rsidR="002472E4" w:rsidRDefault="002472E4" w:rsidP="002472E4"/>
    <w:p w:rsidR="002472E4" w:rsidRDefault="002472E4" w:rsidP="002472E4"/>
    <w:p w:rsidR="002472E4" w:rsidRDefault="002472E4" w:rsidP="002472E4"/>
    <w:p w:rsidR="0033702E" w:rsidRDefault="0033702E" w:rsidP="002472E4"/>
    <w:p w:rsidR="002472E4" w:rsidRDefault="002472E4" w:rsidP="002472E4"/>
    <w:p w:rsidR="002472E4" w:rsidRDefault="002472E4" w:rsidP="002472E4"/>
    <w:p w:rsidR="002472E4" w:rsidRDefault="002472E4" w:rsidP="002472E4"/>
    <w:p w:rsidR="002472E4" w:rsidRDefault="002472E4" w:rsidP="002472E4">
      <w:r>
        <w:t>Vaja opravljena dne: 15.11.2010</w:t>
      </w:r>
    </w:p>
    <w:p w:rsidR="000C56B8" w:rsidRDefault="000C56B8" w:rsidP="002472E4"/>
    <w:p w:rsidR="000C56B8" w:rsidRDefault="002472E4" w:rsidP="002472E4">
      <w:pPr>
        <w:jc w:val="right"/>
      </w:pPr>
      <w:r>
        <w:t xml:space="preserve">Pregledal: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:rsidR="002472E4" w:rsidRDefault="002472E4" w:rsidP="0087403E"/>
    <w:p w:rsidR="00DB5269" w:rsidRPr="00DB5269" w:rsidRDefault="00DB5269" w:rsidP="0087403E">
      <w:pPr>
        <w:rPr>
          <w:b/>
        </w:rPr>
      </w:pPr>
      <w:r w:rsidRPr="00DB5269">
        <w:rPr>
          <w:b/>
        </w:rPr>
        <w:t>Besedilo naloge:</w:t>
      </w:r>
    </w:p>
    <w:p w:rsidR="00DB5269" w:rsidRDefault="00DB5269" w:rsidP="00F92286">
      <w:pPr>
        <w:jc w:val="both"/>
      </w:pPr>
      <w:r>
        <w:t>V Robot Studiu ustvari postajo z robotom IRB140_6_81. Izdelaj orodje, orodju določi TCP (k.s. vrha orodja), orodje pritrdi na vrh robota, izdelaj mizo, ustvari k.s. mize (</w:t>
      </w:r>
      <w:proofErr w:type="spellStart"/>
      <w:r w:rsidRPr="002442EC">
        <w:rPr>
          <w:i/>
        </w:rPr>
        <w:t>Workobject</w:t>
      </w:r>
      <w:proofErr w:type="spellEnd"/>
      <w:r>
        <w:t xml:space="preserve">) ter napiši program za gibanje robota po enostavni trajektoriji (npr. okrog obdelovanca, sestavljenega iz dveh kvadrov, nameščenih na mizo). Trajektorijo ustvari z dodajanjem ukazov za gibanje (uporabi inštrukcijo </w:t>
      </w:r>
      <w:proofErr w:type="spellStart"/>
      <w:r w:rsidRPr="00C164D6">
        <w:rPr>
          <w:i/>
        </w:rPr>
        <w:t>Teach</w:t>
      </w:r>
      <w:proofErr w:type="spellEnd"/>
      <w:r w:rsidRPr="00C164D6">
        <w:rPr>
          <w:i/>
        </w:rPr>
        <w:t xml:space="preserve"> </w:t>
      </w:r>
      <w:proofErr w:type="spellStart"/>
      <w:r w:rsidRPr="00C164D6">
        <w:rPr>
          <w:i/>
        </w:rPr>
        <w:t>Instruction</w:t>
      </w:r>
      <w:proofErr w:type="spellEnd"/>
      <w:r>
        <w:t>). Gibanje se naj ponovi 10-krat</w:t>
      </w:r>
      <w:r w:rsidR="0050779F">
        <w:t xml:space="preserve"> (uporabi zanko WHILE)</w:t>
      </w:r>
      <w:r>
        <w:t>. Pripravi programski modul za prenos na robota.</w:t>
      </w:r>
    </w:p>
    <w:p w:rsidR="00A73F3A" w:rsidRDefault="00A73F3A" w:rsidP="0050779F">
      <w:pPr>
        <w:pBdr>
          <w:bottom w:val="single" w:sz="4" w:space="1" w:color="auto"/>
        </w:pBdr>
      </w:pPr>
    </w:p>
    <w:p w:rsidR="00A73F3A" w:rsidRPr="00AD1490" w:rsidRDefault="0050779F" w:rsidP="0087403E">
      <w:pPr>
        <w:rPr>
          <w:b/>
        </w:rPr>
      </w:pPr>
      <w:r w:rsidRPr="00AD1490">
        <w:rPr>
          <w:b/>
        </w:rPr>
        <w:t>Robotski sistem: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50779F" w:rsidRPr="00AD1490" w:rsidRDefault="0050779F" w:rsidP="0087403E">
      <w:pPr>
        <w:rPr>
          <w:b/>
        </w:rPr>
      </w:pPr>
      <w:r w:rsidRPr="00AD1490">
        <w:rPr>
          <w:b/>
        </w:rPr>
        <w:t>Orodje: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50779F" w:rsidRPr="00AD1490" w:rsidRDefault="0050779F" w:rsidP="0087403E">
      <w:pPr>
        <w:rPr>
          <w:b/>
        </w:rPr>
      </w:pPr>
      <w:r w:rsidRPr="00AD1490">
        <w:rPr>
          <w:b/>
        </w:rPr>
        <w:t>Okolje: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50779F" w:rsidRPr="00AD1490" w:rsidRDefault="0050779F" w:rsidP="0087403E">
      <w:pPr>
        <w:rPr>
          <w:b/>
        </w:rPr>
      </w:pPr>
      <w:r w:rsidRPr="00AD1490">
        <w:rPr>
          <w:b/>
        </w:rPr>
        <w:t>Obdelovanec: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0C56B8" w:rsidRPr="00AD1490" w:rsidRDefault="000C56B8" w:rsidP="0087403E">
      <w:pPr>
        <w:rPr>
          <w:b/>
        </w:rPr>
      </w:pPr>
      <w:r w:rsidRPr="00AD1490">
        <w:rPr>
          <w:b/>
        </w:rPr>
        <w:t>Opis postopka: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50779F" w:rsidRPr="00AD1490" w:rsidRDefault="00B30F17" w:rsidP="0087403E">
      <w:pPr>
        <w:rPr>
          <w:b/>
        </w:rPr>
      </w:pPr>
      <w:r w:rsidRPr="00AD1490">
        <w:rPr>
          <w:b/>
        </w:rPr>
        <w:t>Trajektorija</w:t>
      </w:r>
      <w:r w:rsidR="000C56B8" w:rsidRPr="00AD1490">
        <w:rPr>
          <w:b/>
        </w:rPr>
        <w:t xml:space="preserve"> (točke)</w:t>
      </w:r>
      <w:r w:rsidR="0050779F" w:rsidRPr="00AD1490">
        <w:rPr>
          <w:b/>
        </w:rPr>
        <w:t>:</w:t>
      </w:r>
    </w:p>
    <w:p w:rsidR="00EB39B4" w:rsidRPr="00AD1490" w:rsidRDefault="00EB39B4" w:rsidP="0087403E">
      <w:pPr>
        <w:rPr>
          <w:b/>
        </w:rPr>
      </w:pPr>
    </w:p>
    <w:p w:rsidR="00EB39B4" w:rsidRPr="00AD1490" w:rsidRDefault="00EB39B4" w:rsidP="0087403E">
      <w:pPr>
        <w:rPr>
          <w:b/>
        </w:rPr>
      </w:pPr>
    </w:p>
    <w:p w:rsidR="0050779F" w:rsidRPr="00AD1490" w:rsidRDefault="0050779F" w:rsidP="0087403E">
      <w:pPr>
        <w:rPr>
          <w:b/>
        </w:rPr>
      </w:pPr>
      <w:r w:rsidRPr="00AD1490">
        <w:rPr>
          <w:b/>
        </w:rPr>
        <w:t>Program</w:t>
      </w:r>
      <w:r w:rsidR="000C56B8" w:rsidRPr="00AD1490">
        <w:rPr>
          <w:b/>
        </w:rPr>
        <w:t xml:space="preserve"> (ukazi)</w:t>
      </w:r>
      <w:r w:rsidRPr="00AD1490">
        <w:rPr>
          <w:b/>
        </w:rPr>
        <w:t>:</w:t>
      </w:r>
    </w:p>
    <w:p w:rsidR="0077526E" w:rsidRDefault="0077526E" w:rsidP="0087403E"/>
    <w:sectPr w:rsidR="0077526E" w:rsidSect="00DE1AD5">
      <w:headerReference w:type="default" r:id="rId6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04" w:rsidRDefault="00B40704" w:rsidP="008B71D9">
      <w:pPr>
        <w:spacing w:after="0" w:line="240" w:lineRule="auto"/>
      </w:pPr>
      <w:r>
        <w:separator/>
      </w:r>
    </w:p>
  </w:endnote>
  <w:endnote w:type="continuationSeparator" w:id="0">
    <w:p w:rsidR="00B40704" w:rsidRDefault="00B40704" w:rsidP="008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04" w:rsidRDefault="00B40704" w:rsidP="008B71D9">
      <w:pPr>
        <w:spacing w:after="0" w:line="240" w:lineRule="auto"/>
      </w:pPr>
      <w:r>
        <w:separator/>
      </w:r>
    </w:p>
  </w:footnote>
  <w:footnote w:type="continuationSeparator" w:id="0">
    <w:p w:rsidR="00B40704" w:rsidRDefault="00B40704" w:rsidP="008B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D9" w:rsidRDefault="0077526E">
    <w:pPr>
      <w:pStyle w:val="Glava"/>
    </w:pPr>
    <w:r w:rsidRPr="0077526E">
      <w:rPr>
        <w:noProof/>
        <w:lang w:eastAsia="sl-SI"/>
      </w:rPr>
      <w:drawing>
        <wp:inline distT="0" distB="0" distL="0" distR="0">
          <wp:extent cx="5972810" cy="334645"/>
          <wp:effectExtent l="19050" t="0" r="0" b="0"/>
          <wp:docPr id="4" name="Predme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9144000" cy="512757"/>
                    <a:chOff x="0" y="0"/>
                    <a:chExt cx="9144000" cy="512757"/>
                  </a:xfrm>
                </a:grpSpPr>
                <a:sp>
                  <a:nvSpPr>
                    <a:cNvPr id="5" name="Naslov 1"/>
                    <a:cNvSpPr txBox="1">
                      <a:spLocks/>
                    </a:cNvSpPr>
                  </a:nvSpPr>
                  <a:spPr bwMode="auto">
                    <a:xfrm>
                      <a:off x="0" y="0"/>
                      <a:ext cx="9144000" cy="512757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a:spPr>
                  <a:txSp>
                    <a:txBody>
                      <a:bodyPr vert="horz" wrap="square" lIns="91440" tIns="45720" rIns="91440" bIns="45720" numCol="1" rtlCol="0" anchor="ctr" anchorCtr="1" compatLnSpc="1">
                        <a:prstTxWarp prst="textNoShape">
                          <a:avLst/>
                        </a:prstTxWarp>
                        <a:normAutofit/>
                      </a:bodyPr>
                      <a:lstStyle>
                        <a:defPPr>
                          <a:defRPr lang="sl-SI"/>
                        </a:defPPr>
                        <a:lvl1pPr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lvl="0" indent="0" algn="ctr" defTabSz="914400" rtl="0" eaLnBrk="0" fontAlgn="auto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spcAft>
                            <a:spcPts val="0"/>
                          </a:spcAft>
                          <a:buClrTx/>
                          <a:buSzTx/>
                          <a:buFontTx/>
                          <a:buNone/>
                          <a:tabLst/>
                          <a:defRPr/>
                        </a:pPr>
                        <a:r>
                          <a:rPr kumimoji="0" lang="sl-SI" sz="2000" b="0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	</a:t>
                        </a:r>
                        <a:r>
                          <a:rPr kumimoji="0" lang="sl-SI" sz="2000" b="1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ROBOTSKI SISTEMI 1</a:t>
                        </a:r>
                        <a:endParaRPr kumimoji="0" lang="sl-SI" sz="2000" b="1" i="1" u="none" strike="noStrike" kern="0" cap="none" spc="0" normalizeH="0" baseline="0" noProof="0" dirty="0">
                          <a:ln>
                            <a:noFill/>
                          </a:ln>
                          <a:solidFill>
                            <a:schemeClr val="lt1"/>
                          </a:solidFill>
                          <a:effectLst>
                            <a:outerShdw blurRad="38100" dist="38100" dir="2700000" algn="tl">
                              <a:srgbClr val="000000"/>
                            </a:outerShdw>
                          </a:effectLst>
                          <a:uLnTx/>
                          <a:uFillTx/>
                          <a:latin typeface="+mn-lt"/>
                          <a:ea typeface="+mn-ea"/>
                          <a:cs typeface="+mn-cs"/>
                        </a:endParaRPr>
                      </a:p>
                    </a:txBody>
                    <a:useSpRect/>
                  </a:txSp>
                  <a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a:style>
                </a:sp>
                <a:pic>
                  <a:nvPicPr>
                    <a:cNvPr id="6" name="Slika 5" descr="visja.jpg"/>
                    <a:cNvPicPr/>
                  </a:nvPicPr>
                  <a:blipFill>
                    <a:blip r:embed="rId1"/>
                    <a:stretch>
                      <a:fillRect/>
                    </a:stretch>
                  </a:blipFill>
                  <a:spPr>
                    <a:xfrm>
                      <a:off x="0" y="0"/>
                      <a:ext cx="2267744" cy="476672"/>
                    </a:xfrm>
                    <a:prstGeom prst="rect">
                      <a:avLst/>
                    </a:prstGeom>
                  </a:spPr>
                </a:pic>
              </lc:lockedCanvas>
            </a:graphicData>
          </a:graphic>
        </wp:inline>
      </w:drawing>
    </w:r>
  </w:p>
  <w:p w:rsidR="008B71D9" w:rsidRDefault="008B71D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D5"/>
    <w:rsid w:val="000C56B8"/>
    <w:rsid w:val="000C77C8"/>
    <w:rsid w:val="0011429F"/>
    <w:rsid w:val="00134DFE"/>
    <w:rsid w:val="00155E38"/>
    <w:rsid w:val="001B596F"/>
    <w:rsid w:val="002442EC"/>
    <w:rsid w:val="002472E4"/>
    <w:rsid w:val="002E01DF"/>
    <w:rsid w:val="0033702E"/>
    <w:rsid w:val="003468AF"/>
    <w:rsid w:val="004D00F2"/>
    <w:rsid w:val="0050779F"/>
    <w:rsid w:val="00527A13"/>
    <w:rsid w:val="00663DF2"/>
    <w:rsid w:val="006B5433"/>
    <w:rsid w:val="00721B91"/>
    <w:rsid w:val="0077526E"/>
    <w:rsid w:val="00784DD1"/>
    <w:rsid w:val="007901F3"/>
    <w:rsid w:val="00831BFA"/>
    <w:rsid w:val="0087403E"/>
    <w:rsid w:val="008B71D9"/>
    <w:rsid w:val="009A2DD5"/>
    <w:rsid w:val="00A73F3A"/>
    <w:rsid w:val="00AD1490"/>
    <w:rsid w:val="00B30F17"/>
    <w:rsid w:val="00B40704"/>
    <w:rsid w:val="00C164D6"/>
    <w:rsid w:val="00D231B5"/>
    <w:rsid w:val="00D8402F"/>
    <w:rsid w:val="00DB5269"/>
    <w:rsid w:val="00DD2536"/>
    <w:rsid w:val="00DE1AD5"/>
    <w:rsid w:val="00DE42AE"/>
    <w:rsid w:val="00E20E3F"/>
    <w:rsid w:val="00E83DB9"/>
    <w:rsid w:val="00EB39B4"/>
    <w:rsid w:val="00F02C20"/>
    <w:rsid w:val="00F92286"/>
    <w:rsid w:val="00FE1F8A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1B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1F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1D9"/>
  </w:style>
  <w:style w:type="paragraph" w:styleId="Noga">
    <w:name w:val="footer"/>
    <w:basedOn w:val="Navaden"/>
    <w:link w:val="NogaZnak"/>
    <w:uiPriority w:val="99"/>
    <w:semiHidden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B71D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3</cp:revision>
  <cp:lastPrinted>2010-11-15T13:49:00Z</cp:lastPrinted>
  <dcterms:created xsi:type="dcterms:W3CDTF">2010-11-15T13:55:00Z</dcterms:created>
  <dcterms:modified xsi:type="dcterms:W3CDTF">2010-11-15T13:56:00Z</dcterms:modified>
</cp:coreProperties>
</file>